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tabs>
          <w:tab w:val="center" w:leader="none" w:pos="4536"/>
          <w:tab w:val="right" w:leader="none" w:pos="8280"/>
          <w:tab w:val="right" w:leader="none" w:pos="9781"/>
        </w:tabs>
        <w:ind w:right="-58"/>
        <w:jc w:val="both"/>
        <w:rPr>
          <w:b w:val="1"/>
        </w:rPr>
      </w:pPr>
      <w:r w:rsidDel="00000000" w:rsidR="00000000" w:rsidRPr="00000000">
        <w:rPr>
          <w:b w:val="1"/>
          <w:color w:val="000000"/>
          <w:rtl w:val="0"/>
        </w:rPr>
        <w:t xml:space="preserve">3GPP TSG RAN Meeting #10</w:t>
      </w:r>
      <w:r w:rsidDel="00000000" w:rsidR="00000000" w:rsidRPr="00000000">
        <w:rPr>
          <w:b w:val="1"/>
          <w:rtl w:val="0"/>
        </w:rPr>
        <w:t xml:space="preserve">5</w:t>
      </w:r>
      <w:r w:rsidDel="00000000" w:rsidR="00000000" w:rsidRPr="00000000">
        <w:rPr>
          <w:b w:val="1"/>
          <w:color w:val="000000"/>
          <w:rtl w:val="0"/>
        </w:rPr>
        <w:tab/>
        <w:tab/>
        <w:t xml:space="preserve">                                                                    </w:t>
      </w:r>
      <w:r w:rsidDel="00000000" w:rsidR="00000000" w:rsidRPr="00000000">
        <w:rPr>
          <w:b w:val="1"/>
          <w:rtl w:val="0"/>
        </w:rPr>
        <w:t xml:space="preserve">  RP-242225</w: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tabs>
          <w:tab w:val="center" w:leader="none" w:pos="4536"/>
          <w:tab w:val="right" w:leader="none" w:pos="8280"/>
          <w:tab w:val="right" w:leader="none" w:pos="9781"/>
        </w:tabs>
        <w:ind w:right="-58"/>
        <w:jc w:val="both"/>
        <w:rPr>
          <w:b w:val="1"/>
        </w:rPr>
      </w:pPr>
      <w:r w:rsidDel="00000000" w:rsidR="00000000" w:rsidRPr="00000000">
        <w:rPr>
          <w:b w:val="1"/>
          <w:rtl w:val="0"/>
        </w:rPr>
        <w:t xml:space="preserve">Melbourne, Australia, September 9-12, 2024</w:t>
      </w:r>
    </w:p>
    <w:p w:rsidR="00000000" w:rsidDel="00000000" w:rsidP="00000000" w:rsidRDefault="00000000" w:rsidRPr="00000000" w14:paraId="00000003">
      <w:pPr>
        <w:spacing w:line="276" w:lineRule="auto"/>
        <w:rPr>
          <w:b w:val="1"/>
        </w:rPr>
      </w:pPr>
      <w:r w:rsidDel="00000000" w:rsidR="00000000" w:rsidRPr="00000000">
        <w:rPr>
          <w:rtl w:val="0"/>
        </w:rPr>
      </w:r>
    </w:p>
    <w:p w:rsidR="00000000" w:rsidDel="00000000" w:rsidP="00000000" w:rsidRDefault="00000000" w:rsidRPr="00000000" w14:paraId="00000004">
      <w:pPr>
        <w:spacing w:line="276" w:lineRule="auto"/>
        <w:rPr>
          <w:b w:val="1"/>
        </w:rPr>
      </w:pPr>
      <w:r w:rsidDel="00000000" w:rsidR="00000000" w:rsidRPr="00000000">
        <w:rPr>
          <w:b w:val="1"/>
          <w:rtl w:val="0"/>
        </w:rPr>
        <w:t xml:space="preserve">Agenda item:    </w:t>
        <w:tab/>
        <w:t xml:space="preserve">9.3.2.3</w:t>
      </w:r>
    </w:p>
    <w:p w:rsidR="00000000" w:rsidDel="00000000" w:rsidP="00000000" w:rsidRDefault="00000000" w:rsidRPr="00000000" w14:paraId="00000005">
      <w:pPr>
        <w:spacing w:line="276" w:lineRule="auto"/>
        <w:rPr>
          <w:b w:val="1"/>
        </w:rPr>
      </w:pPr>
      <w:r w:rsidDel="00000000" w:rsidR="00000000" w:rsidRPr="00000000">
        <w:rPr>
          <w:b w:val="1"/>
          <w:rtl w:val="0"/>
        </w:rPr>
        <w:t xml:space="preserve">Source:              </w:t>
        <w:tab/>
        <w:t xml:space="preserve">Meta</w:t>
      </w:r>
    </w:p>
    <w:p w:rsidR="00000000" w:rsidDel="00000000" w:rsidP="00000000" w:rsidRDefault="00000000" w:rsidRPr="00000000" w14:paraId="00000006">
      <w:pPr>
        <w:spacing w:line="276" w:lineRule="auto"/>
        <w:rPr>
          <w:b w:val="1"/>
        </w:rPr>
      </w:pPr>
      <w:r w:rsidDel="00000000" w:rsidR="00000000" w:rsidRPr="00000000">
        <w:rPr>
          <w:b w:val="1"/>
          <w:rtl w:val="0"/>
        </w:rPr>
        <w:t xml:space="preserve">Title:                   </w:t>
        <w:tab/>
        <w:t xml:space="preserve">On the Support of 2Rx for Wristwear XR Devices</w:t>
      </w:r>
    </w:p>
    <w:p w:rsidR="00000000" w:rsidDel="00000000" w:rsidP="00000000" w:rsidRDefault="00000000" w:rsidRPr="00000000" w14:paraId="00000007">
      <w:pPr>
        <w:spacing w:line="276" w:lineRule="auto"/>
        <w:rPr>
          <w:b w:val="1"/>
        </w:rPr>
      </w:pPr>
      <w:r w:rsidDel="00000000" w:rsidR="00000000" w:rsidRPr="00000000">
        <w:rPr>
          <w:b w:val="1"/>
          <w:rtl w:val="0"/>
        </w:rPr>
        <w:t xml:space="preserve">Document for:  </w:t>
        <w:tab/>
        <w:t xml:space="preserve">Discussion and Decision</w:t>
      </w:r>
    </w:p>
    <w:p w:rsidR="00000000" w:rsidDel="00000000" w:rsidP="00000000" w:rsidRDefault="00000000" w:rsidRPr="00000000" w14:paraId="00000008">
      <w:pPr>
        <w:spacing w:line="276" w:lineRule="auto"/>
        <w:rPr>
          <w:b w:val="1"/>
        </w:rPr>
      </w:pPr>
      <w:r w:rsidDel="00000000" w:rsidR="00000000" w:rsidRPr="00000000">
        <w:rPr>
          <w:b w:val="1"/>
          <w:rtl w:val="0"/>
        </w:rPr>
        <w:t xml:space="preserve">___________________________________________________________________________________</w:t>
      </w:r>
    </w:p>
    <w:p w:rsidR="00000000" w:rsidDel="00000000" w:rsidP="00000000" w:rsidRDefault="00000000" w:rsidRPr="00000000" w14:paraId="00000009">
      <w:pPr>
        <w:rPr>
          <w:b w:val="1"/>
          <w:sz w:val="12"/>
          <w:szCs w:val="12"/>
        </w:rPr>
      </w:pPr>
      <w:r w:rsidDel="00000000" w:rsidR="00000000" w:rsidRPr="00000000">
        <w:rPr>
          <w:rtl w:val="0"/>
        </w:rPr>
      </w:r>
    </w:p>
    <w:p w:rsidR="00000000" w:rsidDel="00000000" w:rsidP="00000000" w:rsidRDefault="00000000" w:rsidRPr="00000000" w14:paraId="0000000A">
      <w:pPr>
        <w:pStyle w:val="Heading1"/>
        <w:numPr>
          <w:ilvl w:val="0"/>
          <w:numId w:val="5"/>
        </w:numPr>
        <w:spacing w:before="0" w:lineRule="auto"/>
        <w:ind w:left="720" w:hanging="360"/>
        <w:rPr>
          <w:b w:val="1"/>
          <w:sz w:val="28"/>
          <w:szCs w:val="28"/>
        </w:rPr>
      </w:pPr>
      <w:bookmarkStart w:colFirst="0" w:colLast="0" w:name="_heading=h.gjdgxs" w:id="0"/>
      <w:bookmarkEnd w:id="0"/>
      <w:r w:rsidDel="00000000" w:rsidR="00000000" w:rsidRPr="00000000">
        <w:rPr>
          <w:b w:val="1"/>
          <w:sz w:val="28"/>
          <w:szCs w:val="28"/>
          <w:rtl w:val="0"/>
        </w:rPr>
        <w:t xml:space="preserve">Introduction</w:t>
      </w:r>
    </w:p>
    <w:p w:rsidR="00000000" w:rsidDel="00000000" w:rsidP="00000000" w:rsidRDefault="00000000" w:rsidRPr="00000000" w14:paraId="0000000B">
      <w:pPr>
        <w:rPr/>
      </w:pPr>
      <w:r w:rsidDel="00000000" w:rsidR="00000000" w:rsidRPr="00000000">
        <w:rPr>
          <w:rtl w:val="0"/>
        </w:rPr>
        <w:t xml:space="preserve">In RAN#103 meeting, the way forward on 2Rx for XR was approved [5], encompassing requirements related to REFSENS and OTA performance as well as the corresponding signaling support.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On the REFSENS performance, the RAN4 CR in RP-240848 that incorporates the following content was approved. </w:t>
      </w:r>
    </w:p>
    <w:p w:rsidR="00000000" w:rsidDel="00000000" w:rsidP="00000000" w:rsidRDefault="00000000" w:rsidRPr="00000000" w14:paraId="0000000E">
      <w:pPr>
        <w:rPr/>
      </w:pPr>
      <w:r w:rsidDel="00000000" w:rsidR="00000000" w:rsidRPr="00000000">
        <w:rPr>
          <w:rtl w:val="0"/>
        </w:rPr>
      </w:r>
    </w:p>
    <w:tbl>
      <w:tblPr>
        <w:tblStyle w:val="Table1"/>
        <w:tblW w:w="98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870"/>
        <w:tblGridChange w:id="0">
          <w:tblGrid>
            <w:gridCol w:w="9870"/>
          </w:tblGrid>
        </w:tblGridChange>
      </w:tblGrid>
      <w:tr>
        <w:trPr>
          <w:cantSplit w:val="0"/>
          <w:trHeight w:val="2580" w:hRule="atLeast"/>
          <w:tblHeader w:val="0"/>
        </w:trPr>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F">
            <w:pPr>
              <w:spacing w:before="240" w:line="276" w:lineRule="auto"/>
              <w:rPr/>
            </w:pPr>
            <w:r w:rsidDel="00000000" w:rsidR="00000000" w:rsidRPr="00000000">
              <w:rPr>
                <w:rtl w:val="0"/>
              </w:rPr>
              <w:t xml:space="preserve">For two Rx antenna port XR UE(s) indicating UE capability [2Rx XR], reference sensitivity for two Rx antenna ports in Table 7.3.2-1a and in Table 7.3.2-1b shall be modified by the amount given in ΔR</w:t>
            </w:r>
            <w:r w:rsidDel="00000000" w:rsidR="00000000" w:rsidRPr="00000000">
              <w:rPr>
                <w:vertAlign w:val="subscript"/>
                <w:rtl w:val="0"/>
              </w:rPr>
              <w:t xml:space="preserve">XR,2R</w:t>
            </w:r>
            <w:r w:rsidDel="00000000" w:rsidR="00000000" w:rsidRPr="00000000">
              <w:rPr>
                <w:rtl w:val="0"/>
              </w:rPr>
              <w:t xml:space="preserve"> in Table 7.3.2-3 for the applicable operating bands.</w:t>
            </w:r>
          </w:p>
          <w:p w:rsidR="00000000" w:rsidDel="00000000" w:rsidP="00000000" w:rsidRDefault="00000000" w:rsidRPr="00000000" w14:paraId="00000010">
            <w:pPr>
              <w:spacing w:after="240" w:before="240" w:lineRule="auto"/>
              <w:rPr>
                <w:vertAlign w:val="subscript"/>
              </w:rPr>
            </w:pPr>
            <w:r w:rsidDel="00000000" w:rsidR="00000000" w:rsidRPr="00000000">
              <w:rPr>
                <w:rtl w:val="0"/>
              </w:rPr>
              <w:t xml:space="preserve">Table 7.3.2-3: Two antenna port XR UE reference sensitivity allowance ΔR</w:t>
            </w:r>
            <w:r w:rsidDel="00000000" w:rsidR="00000000" w:rsidRPr="00000000">
              <w:rPr>
                <w:vertAlign w:val="subscript"/>
                <w:rtl w:val="0"/>
              </w:rPr>
              <w:t xml:space="preserve">XR,2R</w:t>
            </w:r>
          </w:p>
          <w:tbl>
            <w:tblPr>
              <w:tblStyle w:val="Table2"/>
              <w:tblW w:w="7710.0" w:type="dxa"/>
              <w:jc w:val="left"/>
              <w:tblInd w:w="112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30"/>
              <w:gridCol w:w="3180"/>
              <w:tblGridChange w:id="0">
                <w:tblGrid>
                  <w:gridCol w:w="4530"/>
                  <w:gridCol w:w="3180"/>
                </w:tblGrid>
              </w:tblGridChange>
            </w:tblGrid>
            <w:tr>
              <w:trPr>
                <w:cantSplit w:val="0"/>
                <w:trHeight w:val="33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0.0" w:type="dxa"/>
                    <w:left w:w="0.0" w:type="dxa"/>
                    <w:bottom w:w="0.0" w:type="dxa"/>
                    <w:right w:w="0.0" w:type="dxa"/>
                  </w:tcMar>
                  <w:vAlign w:val="center"/>
                </w:tcPr>
                <w:p w:rsidR="00000000" w:rsidDel="00000000" w:rsidP="00000000" w:rsidRDefault="00000000" w:rsidRPr="00000000" w14:paraId="00000011">
                  <w:pPr>
                    <w:spacing w:after="240" w:before="240" w:lineRule="auto"/>
                    <w:jc w:val="center"/>
                    <w:rPr/>
                  </w:pPr>
                  <w:r w:rsidDel="00000000" w:rsidR="00000000" w:rsidRPr="00000000">
                    <w:rPr>
                      <w:rtl w:val="0"/>
                    </w:rPr>
                    <w:t xml:space="preserve">Operating band</w:t>
                  </w:r>
                </w:p>
              </w:tc>
              <w:tc>
                <w:tcPr>
                  <w:tcBorders>
                    <w:top w:color="000000" w:space="0" w:sz="5" w:val="single"/>
                    <w:left w:color="000000" w:space="0" w:sz="0" w:val="nil"/>
                    <w:bottom w:color="000000" w:space="0" w:sz="5" w:val="single"/>
                    <w:right w:color="000000" w:space="0" w:sz="5" w:val="single"/>
                  </w:tcBorders>
                  <w:shd w:fill="auto" w:val="clear"/>
                  <w:tcMar>
                    <w:top w:w="0.0" w:type="dxa"/>
                    <w:left w:w="0.0" w:type="dxa"/>
                    <w:bottom w:w="0.0" w:type="dxa"/>
                    <w:right w:w="0.0" w:type="dxa"/>
                  </w:tcMar>
                  <w:vAlign w:val="center"/>
                </w:tcPr>
                <w:p w:rsidR="00000000" w:rsidDel="00000000" w:rsidP="00000000" w:rsidRDefault="00000000" w:rsidRPr="00000000" w14:paraId="00000012">
                  <w:pPr>
                    <w:spacing w:after="240" w:before="240" w:lineRule="auto"/>
                    <w:jc w:val="center"/>
                    <w:rPr/>
                  </w:pPr>
                  <w:r w:rsidDel="00000000" w:rsidR="00000000" w:rsidRPr="00000000">
                    <w:rPr>
                      <w:rtl w:val="0"/>
                    </w:rPr>
                    <w:t xml:space="preserve">ΔR</w:t>
                  </w:r>
                  <w:r w:rsidDel="00000000" w:rsidR="00000000" w:rsidRPr="00000000">
                    <w:rPr>
                      <w:vertAlign w:val="subscript"/>
                      <w:rtl w:val="0"/>
                    </w:rPr>
                    <w:t xml:space="preserve">XR,2R</w:t>
                  </w:r>
                  <w:r w:rsidDel="00000000" w:rsidR="00000000" w:rsidRPr="00000000">
                    <w:rPr>
                      <w:rtl w:val="0"/>
                    </w:rPr>
                    <w:t xml:space="preserve"> (dB)</w:t>
                  </w:r>
                </w:p>
              </w:tc>
            </w:tr>
            <w:tr>
              <w:trPr>
                <w:cantSplit w:val="0"/>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center"/>
                </w:tcPr>
                <w:p w:rsidR="00000000" w:rsidDel="00000000" w:rsidP="00000000" w:rsidRDefault="00000000" w:rsidRPr="00000000" w14:paraId="00000013">
                  <w:pPr>
                    <w:spacing w:after="240" w:before="240" w:lineRule="auto"/>
                    <w:jc w:val="center"/>
                    <w:rPr/>
                  </w:pPr>
                  <w:r w:rsidDel="00000000" w:rsidR="00000000" w:rsidRPr="00000000">
                    <w:rPr>
                      <w:rtl w:val="0"/>
                    </w:rPr>
                    <w:t xml:space="preserve">n7, n38, n41, n48, n77, n78, n79</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center"/>
                </w:tcPr>
                <w:p w:rsidR="00000000" w:rsidDel="00000000" w:rsidP="00000000" w:rsidRDefault="00000000" w:rsidRPr="00000000" w14:paraId="00000014">
                  <w:pPr>
                    <w:spacing w:after="240" w:before="240" w:lineRule="auto"/>
                    <w:jc w:val="center"/>
                    <w:rPr/>
                  </w:pPr>
                  <w:r w:rsidDel="00000000" w:rsidR="00000000" w:rsidRPr="00000000">
                    <w:rPr>
                      <w:rtl w:val="0"/>
                    </w:rPr>
                    <w:t xml:space="preserve"> -1.0</w:t>
                  </w:r>
                </w:p>
              </w:tc>
            </w:tr>
          </w:tbl>
          <w:p w:rsidR="00000000" w:rsidDel="00000000" w:rsidP="00000000" w:rsidRDefault="00000000" w:rsidRPr="00000000" w14:paraId="00000015">
            <w:pPr>
              <w:rPr/>
            </w:pPr>
            <w:r w:rsidDel="00000000" w:rsidR="00000000" w:rsidRPr="00000000">
              <w:rPr>
                <w:rtl w:val="0"/>
              </w:rPr>
            </w:r>
          </w:p>
        </w:tc>
      </w:tr>
    </w:tbl>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On the OTA performance, RAN4 is tasked to undertake and complete necessary OTA work as per RAN4’s proposal in Release-19: </w:t>
      </w:r>
    </w:p>
    <w:p w:rsidR="00000000" w:rsidDel="00000000" w:rsidP="00000000" w:rsidRDefault="00000000" w:rsidRPr="00000000" w14:paraId="00000018">
      <w:pPr>
        <w:rPr/>
      </w:pPr>
      <w:r w:rsidDel="00000000" w:rsidR="00000000" w:rsidRPr="00000000">
        <w:rPr>
          <w:rtl w:val="0"/>
        </w:rPr>
      </w:r>
    </w:p>
    <w:sdt>
      <w:sdtPr>
        <w:lock w:val="contentLocked"/>
        <w:tag w:val="goog_rdk_0"/>
      </w:sdtPr>
      <w:sdtContent>
        <w:tbl>
          <w:tblPr>
            <w:tblStyle w:val="Table3"/>
            <w:tblW w:w="1008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80"/>
            <w:tblGridChange w:id="0">
              <w:tblGrid>
                <w:gridCol w:w="100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t xml:space="preserve">It is agreed to specify OTA TRS requirements per band for both 4Rx XR and 2Rx XR for the NR bands which are mandatorily to support 4Rx based on measurement campaign of 4Rx XR, considering the performance degradation value for 2Rx based on 4Rx measurement campaign.</w:t>
                </w:r>
              </w:p>
            </w:tc>
          </w:tr>
        </w:tbl>
      </w:sdtContent>
    </w:sdt>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On the 2Rx XR UE signaling support, the RAN3 CRs and RAN2 CRs are approved:</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RAN3 CRs:</w:t>
      </w:r>
    </w:p>
    <w:p w:rsidR="00000000" w:rsidDel="00000000" w:rsidP="00000000" w:rsidRDefault="00000000" w:rsidRPr="00000000" w14:paraId="0000001E">
      <w:pPr>
        <w:numPr>
          <w:ilvl w:val="0"/>
          <w:numId w:val="6"/>
        </w:numPr>
        <w:ind w:left="720" w:hanging="360"/>
        <w:rPr>
          <w:u w:val="none"/>
        </w:rPr>
      </w:pPr>
      <w:r w:rsidDel="00000000" w:rsidR="00000000" w:rsidRPr="00000000">
        <w:rPr>
          <w:rtl w:val="0"/>
        </w:rPr>
        <w:t xml:space="preserve">RP-240673: CR to TS 38.300 (RAN2 CR, but contents generated by RAN3)</w:t>
      </w:r>
      <w:r w:rsidDel="00000000" w:rsidR="00000000" w:rsidRPr="00000000">
        <w:rPr>
          <w:rtl w:val="0"/>
        </w:rPr>
      </w:r>
    </w:p>
    <w:p w:rsidR="00000000" w:rsidDel="00000000" w:rsidP="00000000" w:rsidRDefault="00000000" w:rsidRPr="00000000" w14:paraId="0000001F">
      <w:pPr>
        <w:numPr>
          <w:ilvl w:val="0"/>
          <w:numId w:val="6"/>
        </w:numPr>
        <w:ind w:left="720" w:hanging="360"/>
        <w:rPr>
          <w:u w:val="none"/>
        </w:rPr>
      </w:pPr>
      <w:r w:rsidDel="00000000" w:rsidR="00000000" w:rsidRPr="00000000">
        <w:rPr>
          <w:rtl w:val="0"/>
        </w:rPr>
        <w:t xml:space="preserve">RP-240618: CR to TS 38.413</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RAN2 CRs:</w:t>
      </w:r>
    </w:p>
    <w:p w:rsidR="00000000" w:rsidDel="00000000" w:rsidP="00000000" w:rsidRDefault="00000000" w:rsidRPr="00000000" w14:paraId="00000022">
      <w:pPr>
        <w:numPr>
          <w:ilvl w:val="0"/>
          <w:numId w:val="3"/>
        </w:numPr>
        <w:ind w:left="720" w:hanging="360"/>
        <w:rPr>
          <w:u w:val="none"/>
        </w:rPr>
      </w:pPr>
      <w:r w:rsidDel="00000000" w:rsidR="00000000" w:rsidRPr="00000000">
        <w:rPr>
          <w:rtl w:val="0"/>
        </w:rPr>
        <w:t xml:space="preserve">CR pack in RP-240707: CRs to TS 38.300, 38.304, 38.331</w:t>
      </w:r>
      <w:r w:rsidDel="00000000" w:rsidR="00000000" w:rsidRPr="00000000">
        <w:rPr>
          <w:rtl w:val="0"/>
        </w:rPr>
      </w:r>
    </w:p>
    <w:p w:rsidR="00000000" w:rsidDel="00000000" w:rsidP="00000000" w:rsidRDefault="00000000" w:rsidRPr="00000000" w14:paraId="00000023">
      <w:pPr>
        <w:numPr>
          <w:ilvl w:val="0"/>
          <w:numId w:val="3"/>
        </w:numPr>
        <w:ind w:left="720" w:hanging="360"/>
        <w:rPr>
          <w:u w:val="none"/>
        </w:rPr>
      </w:pPr>
      <w:r w:rsidDel="00000000" w:rsidR="00000000" w:rsidRPr="00000000">
        <w:rPr>
          <w:rtl w:val="0"/>
        </w:rPr>
        <w:t xml:space="preserve">RP-240849: a revised CR to TS 38.306 </w:t>
      </w: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In the approved CR 38.101-1 addition of 2Rx XR exception for REFSENS, the definition of 2 Rx XR UE is captured as [6]: </w:t>
      </w:r>
    </w:p>
    <w:p w:rsidR="00000000" w:rsidDel="00000000" w:rsidP="00000000" w:rsidRDefault="00000000" w:rsidRPr="00000000" w14:paraId="00000025">
      <w:pPr>
        <w:rPr>
          <w:b w:val="1"/>
        </w:rPr>
      </w:pPr>
      <w:r w:rsidDel="00000000" w:rsidR="00000000" w:rsidRPr="00000000">
        <w:rPr>
          <w:rtl w:val="0"/>
        </w:rPr>
      </w:r>
    </w:p>
    <w:sdt>
      <w:sdtPr>
        <w:lock w:val="contentLocked"/>
        <w:tag w:val="goog_rdk_1"/>
      </w:sdtPr>
      <w:sdtContent>
        <w:tbl>
          <w:tblPr>
            <w:tblStyle w:val="Table4"/>
            <w:tblW w:w="1008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80"/>
            <w:tblGridChange w:id="0">
              <w:tblGrid>
                <w:gridCol w:w="100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rPr>
                    <w:b w:val="1"/>
                  </w:rPr>
                </w:pPr>
                <w:r w:rsidDel="00000000" w:rsidR="00000000" w:rsidRPr="00000000">
                  <w:rPr>
                    <w:b w:val="1"/>
                    <w:rtl w:val="0"/>
                  </w:rPr>
                  <w:t xml:space="preserve">Two Rx antenna port XR UE</w:t>
                </w:r>
                <w:r w:rsidDel="00000000" w:rsidR="00000000" w:rsidRPr="00000000">
                  <w:rPr>
                    <w:rtl w:val="0"/>
                  </w:rPr>
                  <w:t xml:space="preserve">: 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r w:rsidDel="00000000" w:rsidR="00000000" w:rsidRPr="00000000">
                  <w:rPr>
                    <w:rtl w:val="0"/>
                  </w:rPr>
                </w:r>
              </w:p>
            </w:tc>
          </w:tr>
        </w:tbl>
      </w:sdtContent>
    </w:sdt>
    <w:p w:rsidR="00000000" w:rsidDel="00000000" w:rsidP="00000000" w:rsidRDefault="00000000" w:rsidRPr="00000000" w14:paraId="00000027">
      <w:pPr>
        <w:rPr>
          <w:b w:val="1"/>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In this contribution, we discuss the support of 2Rx relaxation for alternative forms of XR wearable devices.</w:t>
      </w:r>
    </w:p>
    <w:p w:rsidR="00000000" w:rsidDel="00000000" w:rsidP="00000000" w:rsidRDefault="00000000" w:rsidRPr="00000000" w14:paraId="00000029">
      <w:pPr>
        <w:pStyle w:val="Heading1"/>
        <w:numPr>
          <w:ilvl w:val="0"/>
          <w:numId w:val="2"/>
        </w:numPr>
        <w:spacing w:after="0" w:lineRule="auto"/>
        <w:ind w:left="720" w:hanging="360"/>
        <w:rPr>
          <w:b w:val="1"/>
          <w:sz w:val="28"/>
          <w:szCs w:val="28"/>
        </w:rPr>
      </w:pPr>
      <w:bookmarkStart w:colFirst="0" w:colLast="0" w:name="_heading=h.30j0zll" w:id="1"/>
      <w:bookmarkEnd w:id="1"/>
      <w:r w:rsidDel="00000000" w:rsidR="00000000" w:rsidRPr="00000000">
        <w:rPr>
          <w:b w:val="1"/>
          <w:sz w:val="28"/>
          <w:szCs w:val="28"/>
          <w:rtl w:val="0"/>
        </w:rPr>
        <w:t xml:space="preserve">Discussion</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spacing w:after="180" w:lineRule="auto"/>
        <w:jc w:val="both"/>
        <w:rPr/>
      </w:pPr>
      <w:r w:rsidDel="00000000" w:rsidR="00000000" w:rsidRPr="00000000">
        <w:rPr/>
        <w:drawing>
          <wp:inline distB="0" distT="0" distL="0" distR="0">
            <wp:extent cx="6598718" cy="2060277"/>
            <wp:effectExtent b="0" l="0" r="0" t="0"/>
            <wp:docPr descr="Diagram&#10;&#10;Description automatically generated" id="22" name="image1.png"/>
            <a:graphic>
              <a:graphicData uri="http://schemas.openxmlformats.org/drawingml/2006/picture">
                <pic:pic>
                  <pic:nvPicPr>
                    <pic:cNvPr descr="Diagram&#10;&#10;Description automatically generated" id="0" name="image1.png"/>
                    <pic:cNvPicPr preferRelativeResize="0"/>
                  </pic:nvPicPr>
                  <pic:blipFill>
                    <a:blip r:embed="rId7"/>
                    <a:srcRect b="0" l="0" r="0" t="0"/>
                    <a:stretch>
                      <a:fillRect/>
                    </a:stretch>
                  </pic:blipFill>
                  <pic:spPr>
                    <a:xfrm>
                      <a:off x="0" y="0"/>
                      <a:ext cx="6598718" cy="2060277"/>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Figure </w:t>
      </w:r>
      <w:r w:rsidDel="00000000" w:rsidR="00000000" w:rsidRPr="00000000">
        <w:rPr>
          <w:rFonts w:ascii="Arial" w:cs="Arial" w:eastAsia="Arial" w:hAnsi="Arial"/>
          <w:b w:val="1"/>
          <w:sz w:val="20"/>
          <w:szCs w:val="20"/>
          <w:rtl w:val="0"/>
        </w:rPr>
        <w:t xml:space="preserve">1: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Example architecture of AR glasses based on device design type 3</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In [1], four AR device categories were defined, namely, </w:t>
      </w:r>
    </w:p>
    <w:p w:rsidR="00000000" w:rsidDel="00000000" w:rsidP="00000000" w:rsidRDefault="00000000" w:rsidRPr="00000000" w14:paraId="0000002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u w:val="none"/>
        </w:rPr>
      </w:pPr>
      <w:r w:rsidDel="00000000" w:rsidR="00000000" w:rsidRPr="00000000">
        <w:rPr>
          <w:rtl w:val="0"/>
        </w:rPr>
        <w:t xml:space="preserve">Device type 1: Standalone physically-constrained AR glasses</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u w:val="none"/>
        </w:rPr>
      </w:pPr>
      <w:r w:rsidDel="00000000" w:rsidR="00000000" w:rsidRPr="00000000">
        <w:rPr>
          <w:rtl w:val="0"/>
        </w:rPr>
        <w:t xml:space="preserve">Device type 2: 5GUE-tethered physically-constrained AR glasses</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u w:val="none"/>
        </w:rPr>
      </w:pPr>
      <w:r w:rsidDel="00000000" w:rsidR="00000000" w:rsidRPr="00000000">
        <w:rPr>
          <w:rtl w:val="0"/>
        </w:rPr>
        <w:t xml:space="preserve">Device type 3: 5GUE-powered lightweight AR glasses</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u w:val="none"/>
        </w:rPr>
      </w:pPr>
      <w:r w:rsidDel="00000000" w:rsidR="00000000" w:rsidRPr="00000000">
        <w:rPr>
          <w:rtl w:val="0"/>
        </w:rPr>
        <w:t xml:space="preserve">Device type 4: 5GUE XR device</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For 2Rx relaxation, besides standalone headwear XR devices, we explore alternative forms such as device types 2 and 3, which rely on tethered connections to 5G devices for both XR applications and cellular connectivity (as depicted in Fig. 1 [1]).</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Common examples of tethering devices are smartphones and wristwear devices. For XR applications, wristwear devices serve as a superior tethering option for XR glasses compared to smartphones due to several key reasons. Firstly, wristwear devices are designed with integrated sensors and XR application capabilities, making them more suitable for seamless integration with XR glasses. This combination allows for the creation of more immersive and interactive XR experiences without the need for additional hardware. Secondly, similar to XR glasses, wristwear devices operate hands-free, providing users with more natural and intuitive control over their XR environments.</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Despite these advantages, it is important to note that wristwear devices face form factor constraints due to their limited size. As such, these devices can typically accommodate only up to two Rx antennas (e.g., 5G-enabled smartwatches have restricted space for antenna placement). While RedCap may be able to support a subset of XR experiences with less challenging requirements, advanced XR experiences have more stringent requirements for high data rates, advanced sensor integration, and low latency connectivity to deliver seamless and immersive XR experiences.</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Taking these aspects into consideration, the following observation can be made regarding the characteristics of XR wearable devices: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b w:val="1"/>
          <w:rtl w:val="0"/>
        </w:rPr>
        <w:t xml:space="preserve">Observation 1: </w:t>
      </w:r>
      <w:r w:rsidDel="00000000" w:rsidR="00000000" w:rsidRPr="00000000">
        <w:rPr>
          <w:rtl w:val="0"/>
        </w:rPr>
        <w:t xml:space="preserve">Wristwear XR devices are characterized by:</w:t>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Serving as tethered 5G connectivity for XR glasses</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Possessing form factor limitations to equip 4 Rx antennas</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Offering a cohesive and immersive XR experience when paired with XR glasses due to their shared wearable nature and integrated XR functionality</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To compensate for the constraints imposed by limited space and form factor requirements, XR wearable may incorporate more sophisticated antenna designs or innovative technologies in both headwear and wristwear 2Rx XR devices. </w:t>
      </w:r>
    </w:p>
    <w:p w:rsidR="00000000" w:rsidDel="00000000" w:rsidP="00000000" w:rsidRDefault="00000000" w:rsidRPr="00000000" w14:paraId="0000003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u w:val="none"/>
        </w:rPr>
      </w:pPr>
      <w:r w:rsidDel="00000000" w:rsidR="00000000" w:rsidRPr="00000000">
        <w:rPr>
          <w:rtl w:val="0"/>
        </w:rPr>
        <w:t xml:space="preserve">These advancements could potentially enhance antenna efficiency and effectiveness, allowing these XR devices to perform on par with smartphones with a pair of Rx out of four antennas. </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u w:val="none"/>
        </w:rPr>
      </w:pPr>
      <w:r w:rsidDel="00000000" w:rsidR="00000000" w:rsidRPr="00000000">
        <w:rPr>
          <w:rtl w:val="0"/>
        </w:rPr>
        <w:t xml:space="preserve">Secondly, wristwear XR devices are typically designed with a focus on specific applications and user scenarios. This specialization allows for tailored antenna optimization, resulting in better performance within their intended use cases compared to multipurpose devices like smartphones.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u w:val="none"/>
        </w:rPr>
      </w:pPr>
      <w:r w:rsidDel="00000000" w:rsidR="00000000" w:rsidRPr="00000000">
        <w:rPr>
          <w:rtl w:val="0"/>
        </w:rPr>
        <w:t xml:space="preserve">Furthermore, wristwear devices are less likely to be surrounded by the kinds of obstacles that smartphones often face (e.g., being held in the hand, stored in pockets, or placed near other electronic devices). This reduced exposure to degradations that can contribute to better antenna performance despite having 2Rx.</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b w:val="1"/>
          <w:rtl w:val="0"/>
        </w:rPr>
        <w:t xml:space="preserve">Observation 2:</w:t>
      </w:r>
      <w:r w:rsidDel="00000000" w:rsidR="00000000" w:rsidRPr="00000000">
        <w:rPr>
          <w:rtl w:val="0"/>
        </w:rPr>
        <w:t xml:space="preserve"> Wristwear XR devices equipped with 2Rx have the potential to achieve similar antenna performance than smartphones due to advanced designs and specialized use-case focus.</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For the wristwear XR devices, we propose supporting 2Rx relaxation and updating the definitions of 2Rx XR UEs as follows.</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b w:val="1"/>
          <w:rtl w:val="0"/>
        </w:rPr>
        <w:t xml:space="preserve">Proposal 1:</w:t>
      </w:r>
      <w:r w:rsidDel="00000000" w:rsidR="00000000" w:rsidRPr="00000000">
        <w:rPr>
          <w:rtl w:val="0"/>
        </w:rPr>
        <w:t xml:space="preserve"> Support 2Rx relaxation for wristwear XR devices and update the definition of 2Rx XR UE as follows:</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b w:val="1"/>
          <w:rtl w:val="0"/>
        </w:rPr>
        <w:t xml:space="preserve">Two Rx antenna port XR UE:</w:t>
      </w:r>
      <w:r w:rsidDel="00000000" w:rsidR="00000000" w:rsidRPr="00000000">
        <w:rPr>
          <w:rtl w:val="0"/>
        </w:rPr>
        <w:t xml:space="preserve"> A non-(e)RedCap XR UE that is equipped with only two Rx antenna ports in frequency band(s) where 4 Rx antenna ports are required. The UE is intended to be worn on either the human head or wrist, resulting in a constrained form factor with limited volume available for Rx chains. For headwear XR UEs, the intended design is to be supported by or behind the ears and a nose bridge; for wristwear XR UEs, the intended design is to be worn on the wrist using a band. Additionally, the wristwear XR UE is intended to be paired with a headwear XR device through a tethering link.</w:t>
      </w:r>
    </w:p>
    <w:p w:rsidR="00000000" w:rsidDel="00000000" w:rsidP="00000000" w:rsidRDefault="00000000" w:rsidRPr="00000000" w14:paraId="00000043">
      <w:pPr>
        <w:pStyle w:val="Heading1"/>
        <w:spacing w:after="0" w:lineRule="auto"/>
        <w:rPr>
          <w:b w:val="1"/>
          <w:sz w:val="28"/>
          <w:szCs w:val="28"/>
        </w:rPr>
      </w:pPr>
      <w:r w:rsidDel="00000000" w:rsidR="00000000" w:rsidRPr="00000000">
        <w:rPr>
          <w:b w:val="1"/>
          <w:sz w:val="28"/>
          <w:szCs w:val="28"/>
          <w:rtl w:val="0"/>
        </w:rPr>
        <w:t xml:space="preserve">3. Conclusion</w:t>
      </w:r>
    </w:p>
    <w:p w:rsidR="00000000" w:rsidDel="00000000" w:rsidP="00000000" w:rsidRDefault="00000000" w:rsidRPr="00000000" w14:paraId="00000044">
      <w:pPr>
        <w:rPr/>
      </w:pPr>
      <w:r w:rsidDel="00000000" w:rsidR="00000000" w:rsidRPr="00000000">
        <w:rPr>
          <w:rtl w:val="0"/>
        </w:rPr>
        <w:t xml:space="preserve">In this contribution, we discussed the support of 2Rx for XR wearables with the following observations and proposal: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spacing w:after="160" w:line="259" w:lineRule="auto"/>
        <w:rPr/>
      </w:pPr>
      <w:r w:rsidDel="00000000" w:rsidR="00000000" w:rsidRPr="00000000">
        <w:rPr>
          <w:b w:val="1"/>
          <w:rtl w:val="0"/>
        </w:rPr>
        <w:t xml:space="preserve">Observation 1: </w:t>
      </w:r>
      <w:r w:rsidDel="00000000" w:rsidR="00000000" w:rsidRPr="00000000">
        <w:rPr>
          <w:rtl w:val="0"/>
        </w:rPr>
        <w:t xml:space="preserve">Wristwear XR devices are characterized by:</w:t>
      </w:r>
    </w:p>
    <w:p w:rsidR="00000000" w:rsidDel="00000000" w:rsidP="00000000" w:rsidRDefault="00000000" w:rsidRPr="00000000" w14:paraId="00000047">
      <w:pPr>
        <w:numPr>
          <w:ilvl w:val="0"/>
          <w:numId w:val="1"/>
        </w:numPr>
        <w:spacing w:after="0" w:line="259" w:lineRule="auto"/>
        <w:ind w:left="720" w:hanging="360"/>
        <w:rPr/>
      </w:pPr>
      <w:r w:rsidDel="00000000" w:rsidR="00000000" w:rsidRPr="00000000">
        <w:rPr>
          <w:rtl w:val="0"/>
        </w:rPr>
        <w:t xml:space="preserve">Serving as tethered 5G connectivity for XR glasses</w:t>
      </w:r>
    </w:p>
    <w:p w:rsidR="00000000" w:rsidDel="00000000" w:rsidP="00000000" w:rsidRDefault="00000000" w:rsidRPr="00000000" w14:paraId="00000048">
      <w:pPr>
        <w:numPr>
          <w:ilvl w:val="0"/>
          <w:numId w:val="1"/>
        </w:numPr>
        <w:spacing w:after="0" w:line="259" w:lineRule="auto"/>
        <w:ind w:left="720" w:hanging="360"/>
        <w:rPr/>
      </w:pPr>
      <w:r w:rsidDel="00000000" w:rsidR="00000000" w:rsidRPr="00000000">
        <w:rPr>
          <w:rtl w:val="0"/>
        </w:rPr>
        <w:t xml:space="preserve">Possessing form factor limitations to equip 4 Rx antennas</w:t>
      </w:r>
    </w:p>
    <w:p w:rsidR="00000000" w:rsidDel="00000000" w:rsidP="00000000" w:rsidRDefault="00000000" w:rsidRPr="00000000" w14:paraId="00000049">
      <w:pPr>
        <w:numPr>
          <w:ilvl w:val="0"/>
          <w:numId w:val="1"/>
        </w:numPr>
        <w:spacing w:after="160" w:line="259" w:lineRule="auto"/>
        <w:ind w:left="720" w:hanging="360"/>
        <w:rPr/>
      </w:pPr>
      <w:r w:rsidDel="00000000" w:rsidR="00000000" w:rsidRPr="00000000">
        <w:rPr>
          <w:rtl w:val="0"/>
        </w:rPr>
        <w:t xml:space="preserve">Offering a cohesive and immersive XR experience when paired with XR glasses due to their shared wearable nature and integrated XR functionality</w:t>
      </w:r>
    </w:p>
    <w:p w:rsidR="00000000" w:rsidDel="00000000" w:rsidP="00000000" w:rsidRDefault="00000000" w:rsidRPr="00000000" w14:paraId="0000004A">
      <w:pPr>
        <w:spacing w:after="160" w:line="259" w:lineRule="auto"/>
        <w:rPr/>
      </w:pPr>
      <w:r w:rsidDel="00000000" w:rsidR="00000000" w:rsidRPr="00000000">
        <w:rPr>
          <w:b w:val="1"/>
          <w:rtl w:val="0"/>
        </w:rPr>
        <w:t xml:space="preserve">Observation 2:</w:t>
      </w:r>
      <w:r w:rsidDel="00000000" w:rsidR="00000000" w:rsidRPr="00000000">
        <w:rPr>
          <w:rtl w:val="0"/>
        </w:rPr>
        <w:t xml:space="preserve"> Wristwear XR devices equipped with 2Rx have the potential to achieve similar antenna performance than smartphones due to advanced designs and specialized use-case focus.</w:t>
      </w:r>
    </w:p>
    <w:p w:rsidR="00000000" w:rsidDel="00000000" w:rsidP="00000000" w:rsidRDefault="00000000" w:rsidRPr="00000000" w14:paraId="0000004B">
      <w:pPr>
        <w:spacing w:after="160" w:line="259" w:lineRule="auto"/>
        <w:rPr/>
      </w:pPr>
      <w:r w:rsidDel="00000000" w:rsidR="00000000" w:rsidRPr="00000000">
        <w:rPr>
          <w:b w:val="1"/>
          <w:rtl w:val="0"/>
        </w:rPr>
        <w:t xml:space="preserve">Proposal 1:</w:t>
      </w:r>
      <w:r w:rsidDel="00000000" w:rsidR="00000000" w:rsidRPr="00000000">
        <w:rPr>
          <w:rtl w:val="0"/>
        </w:rPr>
        <w:t xml:space="preserve"> Support 2Rx relaxation for wristwear XR devices and update the definition of 2Rx XR UE as follows:</w:t>
      </w:r>
    </w:p>
    <w:p w:rsidR="00000000" w:rsidDel="00000000" w:rsidP="00000000" w:rsidRDefault="00000000" w:rsidRPr="00000000" w14:paraId="0000004C">
      <w:pPr>
        <w:spacing w:after="160" w:line="259" w:lineRule="auto"/>
        <w:rPr/>
      </w:pPr>
      <w:r w:rsidDel="00000000" w:rsidR="00000000" w:rsidRPr="00000000">
        <w:rPr>
          <w:b w:val="1"/>
          <w:rtl w:val="0"/>
        </w:rPr>
        <w:t xml:space="preserve">Two Rx antenna port XR UE: </w:t>
      </w:r>
      <w:r w:rsidDel="00000000" w:rsidR="00000000" w:rsidRPr="00000000">
        <w:rPr>
          <w:rtl w:val="0"/>
        </w:rPr>
        <w:t xml:space="preserve">A non-(e)RedCap XR UE that is equipped with only two Rx antenna ports in frequency band(s) where 4 Rx antenna ports are required. The UE is intended to be worn on either the human head or wrist, resulting in a constrained form factor with limited volume available for Rx chains. For headwear XR UEs, the intended design is to be supported by or behind the ears and a nose bridge; for wristwear XR UEs, the intended design is to be worn on the wrist using a band. Additionally, the wristwear XR UE is intended to be paired with a headwear XR device through a tethering link.</w:t>
      </w:r>
    </w:p>
    <w:p w:rsidR="00000000" w:rsidDel="00000000" w:rsidP="00000000" w:rsidRDefault="00000000" w:rsidRPr="00000000" w14:paraId="0000004D">
      <w:pPr>
        <w:rPr>
          <w:sz w:val="36"/>
          <w:szCs w:val="36"/>
        </w:rPr>
      </w:pPr>
      <w:r w:rsidDel="00000000" w:rsidR="00000000" w:rsidRPr="00000000">
        <w:rPr>
          <w:b w:val="1"/>
          <w:sz w:val="28"/>
          <w:szCs w:val="28"/>
          <w:rtl w:val="0"/>
        </w:rPr>
        <w:t xml:space="preserve">References</w:t>
      </w:r>
      <w:r w:rsidDel="00000000" w:rsidR="00000000" w:rsidRPr="00000000">
        <w:rPr>
          <w:rtl w:val="0"/>
        </w:rPr>
      </w:r>
    </w:p>
    <w:p w:rsidR="00000000" w:rsidDel="00000000" w:rsidP="00000000" w:rsidRDefault="00000000" w:rsidRPr="00000000" w14:paraId="0000004E">
      <w:pPr>
        <w:numPr>
          <w:ilvl w:val="0"/>
          <w:numId w:val="4"/>
        </w:numPr>
        <w:ind w:left="562" w:hanging="562"/>
        <w:rPr/>
      </w:pPr>
      <w:r w:rsidDel="00000000" w:rsidR="00000000" w:rsidRPr="00000000">
        <w:rPr>
          <w:rtl w:val="0"/>
        </w:rPr>
        <w:t xml:space="preserve">S4-231856, MeCAR Permanent Document v9.0.0, Nov. 2023</w:t>
      </w:r>
    </w:p>
    <w:p w:rsidR="00000000" w:rsidDel="00000000" w:rsidP="00000000" w:rsidRDefault="00000000" w:rsidRPr="00000000" w14:paraId="0000004F">
      <w:pPr>
        <w:numPr>
          <w:ilvl w:val="0"/>
          <w:numId w:val="4"/>
        </w:numPr>
        <w:ind w:left="562" w:hanging="562"/>
        <w:rPr/>
      </w:pPr>
      <w:r w:rsidDel="00000000" w:rsidR="00000000" w:rsidRPr="00000000">
        <w:rPr>
          <w:rtl w:val="0"/>
        </w:rPr>
        <w:t xml:space="preserve">TR 26.928 Extend Reality (XR) in 5G</w:t>
      </w:r>
    </w:p>
    <w:p w:rsidR="00000000" w:rsidDel="00000000" w:rsidP="00000000" w:rsidRDefault="00000000" w:rsidRPr="00000000" w14:paraId="00000050">
      <w:pPr>
        <w:numPr>
          <w:ilvl w:val="0"/>
          <w:numId w:val="4"/>
        </w:numPr>
        <w:ind w:left="562" w:hanging="562"/>
        <w:rPr>
          <w:u w:val="none"/>
        </w:rPr>
      </w:pPr>
      <w:r w:rsidDel="00000000" w:rsidR="00000000" w:rsidRPr="00000000">
        <w:rPr>
          <w:rtl w:val="0"/>
        </w:rPr>
        <w:t xml:space="preserve">RP-233555, Views on 2Rx for XR Wearables, Meta, 3GPP RAN#102</w:t>
      </w:r>
      <w:r w:rsidDel="00000000" w:rsidR="00000000" w:rsidRPr="00000000">
        <w:rPr>
          <w:rtl w:val="0"/>
        </w:rPr>
      </w:r>
    </w:p>
    <w:p w:rsidR="00000000" w:rsidDel="00000000" w:rsidP="00000000" w:rsidRDefault="00000000" w:rsidRPr="00000000" w14:paraId="00000051">
      <w:pPr>
        <w:numPr>
          <w:ilvl w:val="0"/>
          <w:numId w:val="4"/>
        </w:numPr>
        <w:ind w:left="562" w:hanging="562"/>
        <w:rPr>
          <w:u w:val="none"/>
        </w:rPr>
      </w:pPr>
      <w:r w:rsidDel="00000000" w:rsidR="00000000" w:rsidRPr="00000000">
        <w:rPr>
          <w:rtl w:val="0"/>
        </w:rPr>
        <w:t xml:space="preserve">RP-240648, Views on 2Rx for XR Devices, Meta, 3GPP RAN#103</w:t>
      </w:r>
      <w:r w:rsidDel="00000000" w:rsidR="00000000" w:rsidRPr="00000000">
        <w:rPr>
          <w:rtl w:val="0"/>
        </w:rPr>
      </w:r>
    </w:p>
    <w:p w:rsidR="00000000" w:rsidDel="00000000" w:rsidP="00000000" w:rsidRDefault="00000000" w:rsidRPr="00000000" w14:paraId="00000052">
      <w:pPr>
        <w:numPr>
          <w:ilvl w:val="0"/>
          <w:numId w:val="4"/>
        </w:numPr>
        <w:ind w:left="562" w:hanging="562"/>
        <w:rPr>
          <w:u w:val="none"/>
        </w:rPr>
      </w:pPr>
      <w:r w:rsidDel="00000000" w:rsidR="00000000" w:rsidRPr="00000000">
        <w:rPr>
          <w:rtl w:val="0"/>
        </w:rPr>
        <w:t xml:space="preserve">RP-240847, “Way Forward on 2Rx for XR,” Nokia, 3GPP RAN #103</w:t>
      </w:r>
      <w:r w:rsidDel="00000000" w:rsidR="00000000" w:rsidRPr="00000000">
        <w:rPr>
          <w:rtl w:val="0"/>
        </w:rPr>
      </w:r>
    </w:p>
    <w:p w:rsidR="00000000" w:rsidDel="00000000" w:rsidP="00000000" w:rsidRDefault="00000000" w:rsidRPr="00000000" w14:paraId="00000053">
      <w:pPr>
        <w:numPr>
          <w:ilvl w:val="0"/>
          <w:numId w:val="4"/>
        </w:numPr>
        <w:ind w:left="562" w:hanging="562"/>
        <w:rPr>
          <w:u w:val="none"/>
        </w:rPr>
      </w:pPr>
      <w:r w:rsidDel="00000000" w:rsidR="00000000" w:rsidRPr="00000000">
        <w:rPr>
          <w:rtl w:val="0"/>
        </w:rPr>
        <w:t xml:space="preserve">RP-240855, “CR 38.101-1 addition of 2Rx XR exception for REFSENS,” Nokia, Meta, 3GPP RAN #103</w:t>
      </w:r>
      <w:r w:rsidDel="00000000" w:rsidR="00000000" w:rsidRPr="00000000">
        <w:rPr>
          <w:rtl w:val="0"/>
        </w:rPr>
      </w:r>
    </w:p>
    <w:p w:rsidR="00000000" w:rsidDel="00000000" w:rsidP="00000000" w:rsidRDefault="00000000" w:rsidRPr="00000000" w14:paraId="00000054">
      <w:pPr>
        <w:numPr>
          <w:ilvl w:val="0"/>
          <w:numId w:val="4"/>
        </w:numPr>
        <w:ind w:left="562" w:hanging="562"/>
        <w:rPr>
          <w:u w:val="none"/>
        </w:rPr>
      </w:pPr>
      <w:r w:rsidDel="00000000" w:rsidR="00000000" w:rsidRPr="00000000">
        <w:rPr>
          <w:rtl w:val="0"/>
        </w:rPr>
        <w:t xml:space="preserve">Project Aria:</w:t>
      </w:r>
      <w:hyperlink r:id="rId8">
        <w:r w:rsidDel="00000000" w:rsidR="00000000" w:rsidRPr="00000000">
          <w:rPr>
            <w:rtl w:val="0"/>
          </w:rPr>
          <w:t xml:space="preserve"> </w:t>
        </w:r>
      </w:hyperlink>
      <w:hyperlink r:id="rId9">
        <w:r w:rsidDel="00000000" w:rsidR="00000000" w:rsidRPr="00000000">
          <w:rPr>
            <w:color w:val="0000ff"/>
            <w:u w:val="single"/>
            <w:rtl w:val="0"/>
          </w:rPr>
          <w:t xml:space="preserve">https://about.meta.com/realitylabs/projectaria/</w:t>
        </w:r>
      </w:hyperlink>
      <w:r w:rsidDel="00000000" w:rsidR="00000000" w:rsidRPr="00000000">
        <w:rPr>
          <w:rtl w:val="0"/>
        </w:rPr>
      </w:r>
    </w:p>
    <w:p w:rsidR="00000000" w:rsidDel="00000000" w:rsidP="00000000" w:rsidRDefault="00000000" w:rsidRPr="00000000" w14:paraId="00000055">
      <w:pPr>
        <w:numPr>
          <w:ilvl w:val="0"/>
          <w:numId w:val="4"/>
        </w:numPr>
        <w:ind w:left="562" w:hanging="562"/>
        <w:rPr>
          <w:u w:val="none"/>
        </w:rPr>
      </w:pPr>
      <w:r w:rsidDel="00000000" w:rsidR="00000000" w:rsidRPr="00000000">
        <w:rPr>
          <w:rtl w:val="0"/>
        </w:rPr>
        <w:t xml:space="preserve">CVPR 2022 Tutorial: Towards always-on egocentric vision research using Meta’s Aria glasses, June 19, 2022.</w:t>
      </w:r>
      <w:r w:rsidDel="00000000" w:rsidR="00000000" w:rsidRPr="00000000">
        <w:rPr>
          <w:rtl w:val="0"/>
        </w:rPr>
      </w:r>
    </w:p>
    <w:p w:rsidR="00000000" w:rsidDel="00000000" w:rsidP="00000000" w:rsidRDefault="00000000" w:rsidRPr="00000000" w14:paraId="00000056">
      <w:pPr>
        <w:numPr>
          <w:ilvl w:val="0"/>
          <w:numId w:val="4"/>
        </w:numPr>
        <w:ind w:left="562" w:hanging="562"/>
        <w:rPr>
          <w:u w:val="none"/>
        </w:rPr>
      </w:pPr>
      <w:r w:rsidDel="00000000" w:rsidR="00000000" w:rsidRPr="00000000">
        <w:rPr>
          <w:rtl w:val="0"/>
        </w:rPr>
        <w:t xml:space="preserve">Ray-Ban Meta smart glasses </w:t>
      </w:r>
      <w:hyperlink r:id="rId10">
        <w:r w:rsidDel="00000000" w:rsidR="00000000" w:rsidRPr="00000000">
          <w:rPr>
            <w:color w:val="1155cc"/>
            <w:u w:val="single"/>
            <w:rtl w:val="0"/>
          </w:rPr>
          <w:t xml:space="preserve">https://www.meta.com/smart-glasses/</w:t>
        </w:r>
      </w:hyperlink>
      <w:r w:rsidDel="00000000" w:rsidR="00000000" w:rsidRPr="00000000">
        <w:rPr>
          <w:rtl w:val="0"/>
        </w:rPr>
      </w:r>
    </w:p>
    <w:p w:rsidR="00000000" w:rsidDel="00000000" w:rsidP="00000000" w:rsidRDefault="00000000" w:rsidRPr="00000000" w14:paraId="00000057">
      <w:pPr>
        <w:numPr>
          <w:ilvl w:val="0"/>
          <w:numId w:val="4"/>
        </w:numPr>
        <w:ind w:left="562" w:hanging="562"/>
        <w:rPr>
          <w:u w:val="none"/>
        </w:rPr>
      </w:pPr>
      <w:r w:rsidDel="00000000" w:rsidR="00000000" w:rsidRPr="00000000">
        <w:rPr>
          <w:rtl w:val="0"/>
        </w:rPr>
        <w:t xml:space="preserve">RP-241539, On the Support of 2Rx for Wristwear XR Devices, Meta, Apple</w:t>
      </w:r>
      <w:r w:rsidDel="00000000" w:rsidR="00000000" w:rsidRPr="00000000">
        <w:rPr>
          <w:rtl w:val="0"/>
        </w:rPr>
      </w:r>
    </w:p>
    <w:sectPr>
      <w:pgSz w:h="15840" w:w="12240" w:orient="portrait"/>
      <w:pgMar w:bottom="1080" w:top="108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2"/>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567" w:hanging="567"/>
      </w:pPr>
      <w:rPr>
        <w:b w:val="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sz w:val="22"/>
      <w:szCs w:val="22"/>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rFonts w:ascii="Arial" w:cs="Arial" w:eastAsia="Arial" w:hAnsi="Arial"/>
      <w:color w:val="666666"/>
      <w:sz w:val="30"/>
      <w:szCs w:val="30"/>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val="1"/>
    <w:rsid w:val="00307F23"/>
    <w:pPr>
      <w:spacing w:after="160" w:line="259" w:lineRule="auto"/>
      <w:ind w:left="720"/>
      <w:contextualSpacing w:val="1"/>
    </w:pPr>
    <w:rPr>
      <w:rFonts w:asciiTheme="minorHAnsi" w:cstheme="minorBidi" w:eastAsiaTheme="minorHAnsi" w:hAnsiTheme="minorHAnsi"/>
      <w:sz w:val="22"/>
      <w:szCs w:val="22"/>
      <w:lang w:eastAsia="en-US"/>
    </w:rPr>
  </w:style>
  <w:style w:type="character" w:styleId="ListParagraphChar" w:customStyle="1">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val="1"/>
    <w:locked w:val="1"/>
    <w:rsid w:val="002C0733"/>
    <w:rPr>
      <w:rFonts w:asciiTheme="minorHAnsi" w:cstheme="minorBidi" w:eastAsiaTheme="minorHAnsi" w:hAnsiTheme="minorHAnsi"/>
      <w:sz w:val="22"/>
      <w:szCs w:val="22"/>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val="1"/>
    <w:qFormat w:val="1"/>
    <w:rsid w:val="001C7998"/>
    <w:pPr>
      <w:spacing w:after="200"/>
    </w:pPr>
    <w:rPr>
      <w:rFonts w:ascii="Arial" w:hAnsi="Arial"/>
      <w:b w:val="1"/>
      <w:iCs w:val="1"/>
      <w:color w:val="000000" w:themeColor="text1"/>
      <w:sz w:val="20"/>
      <w:szCs w:val="18"/>
      <w:lang w:eastAsia="en-US"/>
    </w:rPr>
  </w:style>
  <w:style w:type="character" w:styleId="CaptionChar" w:customStyle="1">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val="1"/>
    <w:rsid w:val="001C7998"/>
    <w:rPr>
      <w:rFonts w:ascii="Arial" w:hAnsi="Arial"/>
      <w:b w:val="1"/>
      <w:iCs w:val="1"/>
      <w:color w:val="000000" w:themeColor="text1"/>
      <w:sz w:val="20"/>
      <w:szCs w:val="18"/>
      <w:lang w:eastAsia="en-US"/>
    </w:r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meta.com/smart-glasses/" TargetMode="External"/><Relationship Id="rId9" Type="http://schemas.openxmlformats.org/officeDocument/2006/relationships/hyperlink" Target="https://about.meta.com/realitylabs/projectaria/"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about.meta.com/realitylabs/projectar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Bq48eg2PgfOxJR+0z2jbn7hh3Q==">CgMxLjAaHwoBMBIaChgICVIUChJ0YWJsZS4zNmNpcGd5c3Z1enIaHwoBMRIaChgICVIUChJ0YWJsZS5sZW8ycmJ4czA0ZjgyCGguZ2pkZ3hzMgloLjMwajB6bGw4AHIhMXliWDRDOUJKMER2NXBwdXh6VllmR3pKc3FpbjY3Q21p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2024-05-30T06:54:00Z</dcterms:created>
  <dc:creator>Grace Yu</dc:creator>
</cp:coreProperties>
</file>